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498" w:rsidRDefault="00CD7498">
      <w:pPr>
        <w:pStyle w:val="Domylnie"/>
        <w:jc w:val="both"/>
      </w:pPr>
    </w:p>
    <w:p w:rsidR="00CD7498" w:rsidRPr="001C64E0" w:rsidRDefault="00F03E1F">
      <w:pPr>
        <w:pStyle w:val="Domylnie"/>
        <w:rPr>
          <w:rFonts w:ascii="Arial" w:hAnsi="Arial" w:cs="Arial"/>
          <w:lang w:val="pl-PL"/>
        </w:rPr>
      </w:pPr>
      <w:r w:rsidRPr="00BD66AE">
        <w:rPr>
          <w:rFonts w:ascii="Arial" w:hAnsi="Arial" w:cs="Arial"/>
          <w:b/>
          <w:sz w:val="28"/>
          <w:szCs w:val="28"/>
          <w:lang w:val="pl-PL"/>
        </w:rPr>
        <w:t>Załącznik nr 1</w:t>
      </w:r>
      <w:r w:rsidRPr="001C64E0">
        <w:rPr>
          <w:rFonts w:ascii="Arial" w:hAnsi="Arial" w:cs="Arial"/>
          <w:lang w:val="pl-PL"/>
        </w:rPr>
        <w:t xml:space="preserve"> do SIWZ– </w:t>
      </w:r>
      <w:r w:rsidR="00D60BA1" w:rsidRPr="00BD66AE">
        <w:rPr>
          <w:rFonts w:ascii="Arial" w:hAnsi="Arial" w:cs="Arial"/>
          <w:b/>
          <w:sz w:val="28"/>
          <w:szCs w:val="28"/>
          <w:lang w:val="pl-PL"/>
        </w:rPr>
        <w:t>OPIS PRZEDMIOTU ZAMÓWIENIA</w:t>
      </w:r>
    </w:p>
    <w:p w:rsidR="00CD7498" w:rsidRPr="001C64E0" w:rsidRDefault="00CD7498">
      <w:pPr>
        <w:pStyle w:val="Domylnie"/>
        <w:rPr>
          <w:rFonts w:ascii="Arial" w:hAnsi="Arial" w:cs="Arial"/>
          <w:lang w:val="pl-PL"/>
        </w:rPr>
      </w:pPr>
    </w:p>
    <w:p w:rsidR="00CD7498" w:rsidRPr="001C64E0" w:rsidRDefault="00F03E1F" w:rsidP="00BD66AE">
      <w:pPr>
        <w:pStyle w:val="Domylnie"/>
        <w:rPr>
          <w:rFonts w:ascii="Arial" w:hAnsi="Arial" w:cs="Arial"/>
        </w:rPr>
      </w:pPr>
      <w:r w:rsidRPr="001C64E0">
        <w:rPr>
          <w:rFonts w:ascii="Arial" w:hAnsi="Arial" w:cs="Arial"/>
          <w:b/>
          <w:lang w:val="pl-PL"/>
        </w:rPr>
        <w:t>Przedmiot zamówienia</w:t>
      </w:r>
    </w:p>
    <w:p w:rsidR="00CD7498" w:rsidRPr="001C64E0" w:rsidRDefault="00F03E1F" w:rsidP="00F03E1F">
      <w:pPr>
        <w:pStyle w:val="Domylnie"/>
        <w:numPr>
          <w:ilvl w:val="0"/>
          <w:numId w:val="4"/>
        </w:numPr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color w:val="000000"/>
          <w:lang w:val="pl-PL"/>
        </w:rPr>
        <w:t xml:space="preserve">Przedmiotem zamówienia jest wykonanie inwentaryzacji przyrodniczej obejmującej gatunki minoga rzecznego </w:t>
      </w:r>
      <w:proofErr w:type="spellStart"/>
      <w:r w:rsidRPr="001C64E0">
        <w:rPr>
          <w:rFonts w:ascii="Arial" w:hAnsi="Arial" w:cs="Arial"/>
          <w:i/>
          <w:color w:val="000000"/>
          <w:lang w:val="pl-PL"/>
        </w:rPr>
        <w:t>Lampetra</w:t>
      </w:r>
      <w:proofErr w:type="spellEnd"/>
      <w:r w:rsidRPr="001C64E0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1C64E0">
        <w:rPr>
          <w:rFonts w:ascii="Arial" w:hAnsi="Arial" w:cs="Arial"/>
          <w:i/>
          <w:color w:val="000000"/>
          <w:lang w:val="pl-PL"/>
        </w:rPr>
        <w:t>fluviatilis</w:t>
      </w:r>
      <w:proofErr w:type="spellEnd"/>
      <w:r w:rsidRPr="001C64E0">
        <w:rPr>
          <w:rFonts w:ascii="Arial" w:hAnsi="Arial" w:cs="Arial"/>
          <w:color w:val="000000"/>
          <w:lang w:val="pl-PL"/>
        </w:rPr>
        <w:t xml:space="preserve">, minoga strumieniowego </w:t>
      </w:r>
      <w:proofErr w:type="spellStart"/>
      <w:r w:rsidRPr="001C64E0">
        <w:rPr>
          <w:rFonts w:ascii="Arial" w:hAnsi="Arial" w:cs="Arial"/>
          <w:i/>
          <w:color w:val="000000"/>
          <w:lang w:val="pl-PL"/>
        </w:rPr>
        <w:t>Lampetra</w:t>
      </w:r>
      <w:proofErr w:type="spellEnd"/>
      <w:r w:rsidRPr="001C64E0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1C64E0">
        <w:rPr>
          <w:rFonts w:ascii="Arial" w:hAnsi="Arial" w:cs="Arial"/>
          <w:i/>
          <w:color w:val="000000"/>
          <w:lang w:val="pl-PL"/>
        </w:rPr>
        <w:t>planeri</w:t>
      </w:r>
      <w:proofErr w:type="spellEnd"/>
      <w:r w:rsidRPr="001C64E0">
        <w:rPr>
          <w:rFonts w:ascii="Arial" w:hAnsi="Arial" w:cs="Arial"/>
          <w:color w:val="000000"/>
          <w:lang w:val="pl-PL"/>
        </w:rPr>
        <w:t xml:space="preserve">, kozy </w:t>
      </w:r>
      <w:proofErr w:type="spellStart"/>
      <w:r w:rsidRPr="001C64E0">
        <w:rPr>
          <w:rFonts w:ascii="Arial" w:hAnsi="Arial" w:cs="Arial"/>
          <w:i/>
          <w:color w:val="000000"/>
          <w:lang w:val="pl-PL"/>
        </w:rPr>
        <w:t>Cobitis</w:t>
      </w:r>
      <w:proofErr w:type="spellEnd"/>
      <w:r w:rsidRPr="001C64E0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1C64E0">
        <w:rPr>
          <w:rFonts w:ascii="Arial" w:hAnsi="Arial" w:cs="Arial"/>
          <w:i/>
          <w:color w:val="000000"/>
          <w:lang w:val="pl-PL"/>
        </w:rPr>
        <w:t>taenia</w:t>
      </w:r>
      <w:proofErr w:type="spellEnd"/>
      <w:r w:rsidRPr="001C64E0">
        <w:rPr>
          <w:rFonts w:ascii="Arial" w:hAnsi="Arial" w:cs="Arial"/>
          <w:color w:val="000000"/>
          <w:lang w:val="pl-PL"/>
        </w:rPr>
        <w:t xml:space="preserve">, brzanki </w:t>
      </w:r>
      <w:proofErr w:type="spellStart"/>
      <w:r w:rsidRPr="001C64E0">
        <w:rPr>
          <w:rFonts w:ascii="Arial" w:hAnsi="Arial" w:cs="Arial"/>
          <w:i/>
          <w:color w:val="000000"/>
          <w:lang w:val="pl-PL"/>
        </w:rPr>
        <w:t>Barbus</w:t>
      </w:r>
      <w:proofErr w:type="spellEnd"/>
      <w:r w:rsidRPr="001C64E0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1C64E0">
        <w:rPr>
          <w:rFonts w:ascii="Arial" w:hAnsi="Arial" w:cs="Arial"/>
          <w:i/>
          <w:color w:val="000000"/>
          <w:lang w:val="pl-PL"/>
        </w:rPr>
        <w:t>peloponnesius</w:t>
      </w:r>
      <w:proofErr w:type="spellEnd"/>
      <w:r w:rsidRPr="001C64E0">
        <w:rPr>
          <w:rFonts w:ascii="Arial" w:hAnsi="Arial" w:cs="Arial"/>
          <w:color w:val="000000"/>
          <w:lang w:val="pl-PL"/>
        </w:rPr>
        <w:t xml:space="preserve">, głowacza </w:t>
      </w:r>
      <w:proofErr w:type="spellStart"/>
      <w:r w:rsidRPr="001C64E0">
        <w:rPr>
          <w:rFonts w:ascii="Arial" w:hAnsi="Arial" w:cs="Arial"/>
          <w:color w:val="000000"/>
          <w:lang w:val="pl-PL"/>
        </w:rPr>
        <w:t>białopłetwego</w:t>
      </w:r>
      <w:proofErr w:type="spellEnd"/>
      <w:r w:rsidRPr="001C64E0">
        <w:rPr>
          <w:rFonts w:ascii="Arial" w:hAnsi="Arial" w:cs="Arial"/>
          <w:color w:val="000000"/>
          <w:lang w:val="pl-PL"/>
        </w:rPr>
        <w:t xml:space="preserve"> </w:t>
      </w:r>
      <w:proofErr w:type="spellStart"/>
      <w:r w:rsidRPr="001C64E0">
        <w:rPr>
          <w:rFonts w:ascii="Arial" w:hAnsi="Arial" w:cs="Arial"/>
          <w:i/>
          <w:color w:val="000000"/>
          <w:lang w:val="pl-PL"/>
        </w:rPr>
        <w:t>Cottus</w:t>
      </w:r>
      <w:proofErr w:type="spellEnd"/>
      <w:r w:rsidRPr="001C64E0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1C64E0">
        <w:rPr>
          <w:rFonts w:ascii="Arial" w:hAnsi="Arial" w:cs="Arial"/>
          <w:i/>
          <w:color w:val="000000"/>
          <w:lang w:val="pl-PL"/>
        </w:rPr>
        <w:t>gobio</w:t>
      </w:r>
      <w:proofErr w:type="spellEnd"/>
      <w:r w:rsidRPr="001C64E0">
        <w:rPr>
          <w:rFonts w:ascii="Arial" w:hAnsi="Arial" w:cs="Arial"/>
          <w:color w:val="000000"/>
          <w:lang w:val="pl-PL"/>
        </w:rPr>
        <w:t xml:space="preserve">, łososia atlantyckiego </w:t>
      </w:r>
      <w:proofErr w:type="spellStart"/>
      <w:r w:rsidRPr="001C64E0">
        <w:rPr>
          <w:rFonts w:ascii="Arial" w:hAnsi="Arial" w:cs="Arial"/>
          <w:i/>
          <w:color w:val="000000"/>
          <w:lang w:val="pl-PL"/>
        </w:rPr>
        <w:t>Salmo</w:t>
      </w:r>
      <w:proofErr w:type="spellEnd"/>
      <w:r w:rsidRPr="001C64E0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1C64E0">
        <w:rPr>
          <w:rFonts w:ascii="Arial" w:hAnsi="Arial" w:cs="Arial"/>
          <w:i/>
          <w:color w:val="000000"/>
          <w:lang w:val="pl-PL"/>
        </w:rPr>
        <w:t>salar</w:t>
      </w:r>
      <w:proofErr w:type="spellEnd"/>
      <w:r w:rsidRPr="001C64E0">
        <w:rPr>
          <w:rFonts w:ascii="Arial" w:hAnsi="Arial" w:cs="Arial"/>
          <w:color w:val="000000"/>
          <w:lang w:val="pl-PL"/>
        </w:rPr>
        <w:t xml:space="preserve">  w następujących obszarach Natura 2000:</w:t>
      </w:r>
    </w:p>
    <w:p w:rsidR="00CD7498" w:rsidRPr="001C64E0" w:rsidRDefault="00F03E1F" w:rsidP="00F03E1F">
      <w:pPr>
        <w:pStyle w:val="Domylnie"/>
        <w:numPr>
          <w:ilvl w:val="0"/>
          <w:numId w:val="11"/>
        </w:numPr>
        <w:spacing w:after="120" w:line="100" w:lineRule="atLeast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koza – Dolina Łupawy PLH220036, Dolina Wieprzy i Studnicy PLH220038</w:t>
      </w:r>
    </w:p>
    <w:p w:rsidR="00CD7498" w:rsidRPr="001C64E0" w:rsidRDefault="00F03E1F" w:rsidP="00F03E1F">
      <w:pPr>
        <w:pStyle w:val="Domylnie"/>
        <w:numPr>
          <w:ilvl w:val="0"/>
          <w:numId w:val="11"/>
        </w:numPr>
        <w:spacing w:after="120" w:line="100" w:lineRule="atLeast"/>
        <w:jc w:val="both"/>
        <w:rPr>
          <w:rFonts w:ascii="Arial" w:hAnsi="Arial" w:cs="Arial"/>
        </w:rPr>
      </w:pPr>
      <w:r w:rsidRPr="001C64E0">
        <w:rPr>
          <w:rFonts w:ascii="Arial" w:hAnsi="Arial" w:cs="Arial"/>
          <w:lang w:val="pl-PL"/>
        </w:rPr>
        <w:t xml:space="preserve">głowacz </w:t>
      </w:r>
      <w:proofErr w:type="spellStart"/>
      <w:r w:rsidRPr="001C64E0">
        <w:rPr>
          <w:rFonts w:ascii="Arial" w:hAnsi="Arial" w:cs="Arial"/>
          <w:lang w:val="pl-PL"/>
        </w:rPr>
        <w:t>białopłetwy</w:t>
      </w:r>
      <w:proofErr w:type="spellEnd"/>
      <w:r w:rsidRPr="001C64E0">
        <w:rPr>
          <w:rFonts w:ascii="Arial" w:hAnsi="Arial" w:cs="Arial"/>
          <w:lang w:val="pl-PL"/>
        </w:rPr>
        <w:t xml:space="preserve"> – Dolina Łupawy PLH220036</w:t>
      </w:r>
    </w:p>
    <w:p w:rsidR="00CD7498" w:rsidRPr="001C64E0" w:rsidRDefault="00F03E1F" w:rsidP="00F03E1F">
      <w:pPr>
        <w:pStyle w:val="Domylnie"/>
        <w:numPr>
          <w:ilvl w:val="0"/>
          <w:numId w:val="11"/>
        </w:numPr>
        <w:spacing w:after="120" w:line="100" w:lineRule="atLeast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łosoś atlantycki – Dolina Wieprzy i Studnicy PLH220038</w:t>
      </w:r>
    </w:p>
    <w:p w:rsidR="00CD7498" w:rsidRPr="001C64E0" w:rsidRDefault="00F03E1F" w:rsidP="00F03E1F">
      <w:pPr>
        <w:pStyle w:val="Domylnie"/>
        <w:numPr>
          <w:ilvl w:val="0"/>
          <w:numId w:val="11"/>
        </w:numPr>
        <w:spacing w:after="120" w:line="100" w:lineRule="atLeast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minóg rzeczny – Dolina Wieprzy i Studnicy PLH220038</w:t>
      </w:r>
    </w:p>
    <w:p w:rsidR="00CD7498" w:rsidRPr="001C64E0" w:rsidRDefault="00F03E1F" w:rsidP="00F03E1F">
      <w:pPr>
        <w:pStyle w:val="Domylnie"/>
        <w:numPr>
          <w:ilvl w:val="0"/>
          <w:numId w:val="11"/>
        </w:numPr>
        <w:jc w:val="both"/>
        <w:rPr>
          <w:rFonts w:ascii="Arial" w:hAnsi="Arial" w:cs="Arial"/>
        </w:rPr>
      </w:pPr>
      <w:r w:rsidRPr="001C64E0">
        <w:rPr>
          <w:rFonts w:ascii="Arial" w:hAnsi="Arial" w:cs="Arial"/>
          <w:lang w:val="pl-PL"/>
        </w:rPr>
        <w:t>minóg strumieniowy – Sandr Brdy PLH220026</w:t>
      </w:r>
    </w:p>
    <w:p w:rsidR="00CD7498" w:rsidRPr="001C64E0" w:rsidRDefault="00F03E1F" w:rsidP="00F03E1F">
      <w:pPr>
        <w:pStyle w:val="Domylnie"/>
        <w:numPr>
          <w:ilvl w:val="0"/>
          <w:numId w:val="4"/>
        </w:numPr>
        <w:jc w:val="both"/>
        <w:rPr>
          <w:rFonts w:ascii="Arial" w:hAnsi="Arial" w:cs="Arial"/>
        </w:rPr>
      </w:pPr>
      <w:r w:rsidRPr="001C64E0">
        <w:rPr>
          <w:rFonts w:ascii="Arial" w:hAnsi="Arial" w:cs="Arial"/>
          <w:lang w:val="pl-PL"/>
        </w:rPr>
        <w:t xml:space="preserve"> </w:t>
      </w:r>
      <w:proofErr w:type="spellStart"/>
      <w:r w:rsidRPr="001C64E0">
        <w:rPr>
          <w:rFonts w:ascii="Arial" w:hAnsi="Arial" w:cs="Arial"/>
        </w:rPr>
        <w:t>Inwentaryzacja</w:t>
      </w:r>
      <w:proofErr w:type="spellEnd"/>
      <w:r w:rsidRPr="001C64E0">
        <w:rPr>
          <w:rFonts w:ascii="Arial" w:hAnsi="Arial" w:cs="Arial"/>
        </w:rPr>
        <w:t xml:space="preserve"> </w:t>
      </w:r>
      <w:proofErr w:type="spellStart"/>
      <w:r w:rsidRPr="001C64E0">
        <w:rPr>
          <w:rFonts w:ascii="Arial" w:hAnsi="Arial" w:cs="Arial"/>
        </w:rPr>
        <w:t>obejmuje</w:t>
      </w:r>
      <w:proofErr w:type="spellEnd"/>
      <w:r w:rsidRPr="001C64E0">
        <w:rPr>
          <w:rFonts w:ascii="Arial" w:hAnsi="Arial" w:cs="Arial"/>
        </w:rPr>
        <w:t>:</w:t>
      </w:r>
    </w:p>
    <w:p w:rsidR="00CD7498" w:rsidRPr="001C64E0" w:rsidRDefault="00F03E1F" w:rsidP="00F03E1F">
      <w:pPr>
        <w:pStyle w:val="Domylnie"/>
        <w:numPr>
          <w:ilvl w:val="0"/>
          <w:numId w:val="5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 xml:space="preserve">określenie rozmieszczenia gatunków w obszarze Natura 2000 </w:t>
      </w:r>
      <w:r w:rsidRPr="001C64E0">
        <w:rPr>
          <w:rFonts w:ascii="Arial" w:hAnsi="Arial" w:cs="Arial"/>
          <w:color w:val="000000"/>
          <w:lang w:val="pl-PL"/>
        </w:rPr>
        <w:t>oraz ich potencjalnych miejsc tarliskowych,</w:t>
      </w:r>
    </w:p>
    <w:p w:rsidR="00CD7498" w:rsidRPr="001C64E0" w:rsidRDefault="00F03E1F" w:rsidP="00F03E1F">
      <w:pPr>
        <w:pStyle w:val="Domylnie"/>
        <w:numPr>
          <w:ilvl w:val="0"/>
          <w:numId w:val="5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łączną ocenę stanu ochrony gatunków w obszarze Natura 2000,</w:t>
      </w:r>
    </w:p>
    <w:p w:rsidR="00CD7498" w:rsidRPr="001C64E0" w:rsidRDefault="00F03E1F" w:rsidP="00F03E1F">
      <w:pPr>
        <w:pStyle w:val="Domylnie"/>
        <w:numPr>
          <w:ilvl w:val="0"/>
          <w:numId w:val="5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identyfikację zagrożeń gatunków w obszarze Natura</w:t>
      </w:r>
      <w:r w:rsidR="00BD66AE">
        <w:rPr>
          <w:rFonts w:ascii="Arial" w:hAnsi="Arial" w:cs="Arial"/>
          <w:lang w:val="pl-PL"/>
        </w:rPr>
        <w:t xml:space="preserve"> 2000 z podziałem na istniejące </w:t>
      </w:r>
      <w:r w:rsidRPr="001C64E0">
        <w:rPr>
          <w:rFonts w:ascii="Arial" w:hAnsi="Arial" w:cs="Arial"/>
          <w:lang w:val="pl-PL"/>
        </w:rPr>
        <w:t>i potencjalne oraz wewnętrzne i zewnętrzne,</w:t>
      </w:r>
    </w:p>
    <w:p w:rsidR="00CD7498" w:rsidRPr="001C64E0" w:rsidRDefault="00F03E1F" w:rsidP="00F03E1F">
      <w:pPr>
        <w:pStyle w:val="Domylnie"/>
        <w:numPr>
          <w:ilvl w:val="0"/>
          <w:numId w:val="5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 xml:space="preserve"> przy ocenie stanu ochrony U1 lub U2 określenie celów działań ochronnych oraz działań ochronnych niezbędnych do poprawy stanu ochrony gatunków w obszarze Natura 2000.</w:t>
      </w:r>
    </w:p>
    <w:p w:rsidR="00CD7498" w:rsidRPr="001C64E0" w:rsidRDefault="00F03E1F" w:rsidP="00F03E1F">
      <w:pPr>
        <w:pStyle w:val="Domylnie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 xml:space="preserve">Zamawiający informuje, że dysponuje dokumentacjami planów zadań ochronnych dla w/w obszarów Natura 2000; </w:t>
      </w:r>
      <w:r w:rsidRPr="001C64E0">
        <w:rPr>
          <w:rFonts w:ascii="Arial" w:hAnsi="Arial" w:cs="Arial"/>
          <w:color w:val="000000"/>
          <w:lang w:val="pl-PL"/>
        </w:rPr>
        <w:t>przedmiotowe dane stanowią załącznik do opisu przedmiotu zamówienia</w:t>
      </w:r>
    </w:p>
    <w:p w:rsidR="00CD7498" w:rsidRPr="001C64E0" w:rsidRDefault="00CD7498">
      <w:pPr>
        <w:pStyle w:val="Domylnie"/>
        <w:rPr>
          <w:rFonts w:ascii="Arial" w:hAnsi="Arial" w:cs="Arial"/>
          <w:lang w:val="pl-PL"/>
        </w:rPr>
      </w:pPr>
    </w:p>
    <w:p w:rsidR="00CD7498" w:rsidRPr="001C64E0" w:rsidRDefault="00F03E1F">
      <w:pPr>
        <w:pStyle w:val="Domylnie"/>
        <w:rPr>
          <w:rFonts w:ascii="Arial" w:hAnsi="Arial" w:cs="Arial"/>
        </w:rPr>
      </w:pPr>
      <w:proofErr w:type="spellStart"/>
      <w:r w:rsidRPr="001C64E0">
        <w:rPr>
          <w:rFonts w:ascii="Arial" w:hAnsi="Arial" w:cs="Arial"/>
          <w:b/>
        </w:rPr>
        <w:t>Termin</w:t>
      </w:r>
      <w:proofErr w:type="spellEnd"/>
      <w:r w:rsidRPr="001C64E0">
        <w:rPr>
          <w:rFonts w:ascii="Arial" w:hAnsi="Arial" w:cs="Arial"/>
          <w:b/>
        </w:rPr>
        <w:t xml:space="preserve"> </w:t>
      </w:r>
      <w:proofErr w:type="spellStart"/>
      <w:r w:rsidRPr="001C64E0">
        <w:rPr>
          <w:rFonts w:ascii="Arial" w:hAnsi="Arial" w:cs="Arial"/>
          <w:b/>
        </w:rPr>
        <w:t>wykonania</w:t>
      </w:r>
      <w:proofErr w:type="spellEnd"/>
      <w:r w:rsidRPr="001C64E0">
        <w:rPr>
          <w:rFonts w:ascii="Arial" w:hAnsi="Arial" w:cs="Arial"/>
          <w:b/>
        </w:rPr>
        <w:t xml:space="preserve"> </w:t>
      </w:r>
      <w:proofErr w:type="spellStart"/>
      <w:r w:rsidRPr="001C64E0">
        <w:rPr>
          <w:rFonts w:ascii="Arial" w:hAnsi="Arial" w:cs="Arial"/>
          <w:b/>
        </w:rPr>
        <w:t>zamówienia</w:t>
      </w:r>
      <w:proofErr w:type="spellEnd"/>
    </w:p>
    <w:p w:rsidR="00CD7498" w:rsidRPr="00BD66AE" w:rsidRDefault="00F03E1F" w:rsidP="00BD66AE">
      <w:pPr>
        <w:pStyle w:val="Domylnie"/>
        <w:numPr>
          <w:ilvl w:val="3"/>
          <w:numId w:val="4"/>
        </w:numPr>
        <w:ind w:left="426" w:hanging="426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 xml:space="preserve">Przedmiot zamówienia należy </w:t>
      </w:r>
      <w:r w:rsidRPr="001C64E0">
        <w:rPr>
          <w:rFonts w:ascii="Arial" w:hAnsi="Arial" w:cs="Arial"/>
          <w:color w:val="000000"/>
          <w:lang w:val="pl-PL"/>
        </w:rPr>
        <w:t>wykonać</w:t>
      </w:r>
      <w:r w:rsidRPr="001C64E0">
        <w:rPr>
          <w:rFonts w:ascii="Arial" w:hAnsi="Arial" w:cs="Arial"/>
          <w:color w:val="FF0000"/>
          <w:lang w:val="pl-PL"/>
        </w:rPr>
        <w:t xml:space="preserve"> </w:t>
      </w:r>
      <w:r w:rsidRPr="001C64E0">
        <w:rPr>
          <w:rFonts w:ascii="Arial" w:hAnsi="Arial" w:cs="Arial"/>
          <w:lang w:val="pl-PL"/>
        </w:rPr>
        <w:t>do 30 listopada 2014 r.</w:t>
      </w:r>
    </w:p>
    <w:p w:rsidR="00CD7498" w:rsidRPr="001C64E0" w:rsidRDefault="00F03E1F">
      <w:pPr>
        <w:pStyle w:val="Domylnie"/>
        <w:rPr>
          <w:rFonts w:ascii="Arial" w:hAnsi="Arial" w:cs="Arial"/>
        </w:rPr>
      </w:pPr>
      <w:proofErr w:type="spellStart"/>
      <w:r w:rsidRPr="001C64E0">
        <w:rPr>
          <w:rFonts w:ascii="Arial" w:hAnsi="Arial" w:cs="Arial"/>
          <w:b/>
        </w:rPr>
        <w:t>Podstawa</w:t>
      </w:r>
      <w:proofErr w:type="spellEnd"/>
      <w:r w:rsidRPr="001C64E0">
        <w:rPr>
          <w:rFonts w:ascii="Arial" w:hAnsi="Arial" w:cs="Arial"/>
          <w:b/>
        </w:rPr>
        <w:t xml:space="preserve"> </w:t>
      </w:r>
      <w:proofErr w:type="spellStart"/>
      <w:r w:rsidRPr="001C64E0">
        <w:rPr>
          <w:rFonts w:ascii="Arial" w:hAnsi="Arial" w:cs="Arial"/>
          <w:b/>
        </w:rPr>
        <w:t>sporządzenia</w:t>
      </w:r>
      <w:proofErr w:type="spellEnd"/>
      <w:r w:rsidRPr="001C64E0">
        <w:rPr>
          <w:rFonts w:ascii="Arial" w:hAnsi="Arial" w:cs="Arial"/>
          <w:b/>
        </w:rPr>
        <w:t xml:space="preserve"> </w:t>
      </w:r>
      <w:proofErr w:type="spellStart"/>
      <w:r w:rsidRPr="001C64E0">
        <w:rPr>
          <w:rFonts w:ascii="Arial" w:hAnsi="Arial" w:cs="Arial"/>
          <w:b/>
        </w:rPr>
        <w:t>zamówienia</w:t>
      </w:r>
      <w:proofErr w:type="spellEnd"/>
    </w:p>
    <w:p w:rsidR="00CD7498" w:rsidRPr="001C64E0" w:rsidRDefault="00F03E1F" w:rsidP="001C64E0">
      <w:pPr>
        <w:pStyle w:val="Domylnie"/>
        <w:numPr>
          <w:ilvl w:val="6"/>
          <w:numId w:val="4"/>
        </w:numPr>
        <w:ind w:left="426" w:hanging="426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Inwentaryzację należy sporządzić zgodnie z metodyką opracowaną dla potrzeb Państwowego Monitoringu Środowiska opublikowaną w pracach:</w:t>
      </w:r>
    </w:p>
    <w:p w:rsidR="00CD7498" w:rsidRPr="001C64E0" w:rsidRDefault="00F03E1F" w:rsidP="00CB0466">
      <w:pPr>
        <w:pStyle w:val="Domylnie"/>
        <w:spacing w:before="120" w:after="120" w:line="100" w:lineRule="atLeast"/>
        <w:rPr>
          <w:rFonts w:ascii="Arial" w:hAnsi="Arial" w:cs="Arial"/>
          <w:lang w:val="pl-PL"/>
        </w:rPr>
      </w:pPr>
      <w:bookmarkStart w:id="0" w:name="_GoBack"/>
      <w:r w:rsidRPr="001C64E0">
        <w:rPr>
          <w:rFonts w:ascii="Arial" w:hAnsi="Arial" w:cs="Arial"/>
          <w:iCs/>
          <w:lang w:val="pl-PL"/>
        </w:rPr>
        <w:t>przewodnikach metodycznych  pn. „Monitoring Gatunków Zwierząt” część  II i III, opracowanie zbiorowe, biblioteka monitoringu środowiska, W-</w:t>
      </w:r>
      <w:proofErr w:type="spellStart"/>
      <w:r w:rsidRPr="001C64E0">
        <w:rPr>
          <w:rFonts w:ascii="Arial" w:hAnsi="Arial" w:cs="Arial"/>
          <w:iCs/>
          <w:lang w:val="pl-PL"/>
        </w:rPr>
        <w:t>wa</w:t>
      </w:r>
      <w:proofErr w:type="spellEnd"/>
      <w:r w:rsidRPr="001C64E0">
        <w:rPr>
          <w:rFonts w:ascii="Arial" w:hAnsi="Arial" w:cs="Arial"/>
          <w:iCs/>
          <w:lang w:val="pl-PL"/>
        </w:rPr>
        <w:t xml:space="preserve"> 2012 opracowanych w ramach Państwowego Monitoringu Środowiska (zwanego dalej „PMŚ”) przez Główny Inspektorat Ochrony Środowiska (zwany dalej „GIOŚ”) dostępnych na stronach internetowych </w:t>
      </w:r>
      <w:bookmarkEnd w:id="0"/>
      <w:r w:rsidR="00B00B7E">
        <w:lastRenderedPageBreak/>
        <w:fldChar w:fldCharType="begin"/>
      </w:r>
      <w:r w:rsidR="00B00B7E" w:rsidRPr="00CB0466">
        <w:rPr>
          <w:lang w:val="pl-PL"/>
        </w:rPr>
        <w:instrText xml:space="preserve"> HYPERLINK "http://www.gios.gov.pl/siedliska/pdf/przewod</w:instrText>
      </w:r>
      <w:r w:rsidR="00B00B7E" w:rsidRPr="00CB0466">
        <w:rPr>
          <w:lang w:val="pl-PL"/>
        </w:rPr>
        <w:instrText xml:space="preserve">nik_metodyczny_zwierzeta_2.pdf" \h </w:instrText>
      </w:r>
      <w:r w:rsidR="00B00B7E">
        <w:fldChar w:fldCharType="separate"/>
      </w:r>
      <w:r w:rsidRPr="001C64E0">
        <w:rPr>
          <w:rStyle w:val="czeinternetowe"/>
          <w:rFonts w:ascii="Arial" w:hAnsi="Arial" w:cs="Arial"/>
          <w:iCs/>
        </w:rPr>
        <w:t>http://www.gios.gov.pl/siedliska/pdf/przewodnik_metodyczny_zwierzeta_2.pdf</w:t>
      </w:r>
      <w:r w:rsidR="00B00B7E">
        <w:rPr>
          <w:rStyle w:val="czeinternetowe"/>
          <w:rFonts w:ascii="Arial" w:hAnsi="Arial" w:cs="Arial"/>
          <w:iCs/>
        </w:rPr>
        <w:fldChar w:fldCharType="end"/>
      </w:r>
      <w:r w:rsidRPr="001C64E0">
        <w:rPr>
          <w:rFonts w:ascii="Arial" w:hAnsi="Arial" w:cs="Arial"/>
          <w:iCs/>
          <w:lang w:val="pl-PL"/>
        </w:rPr>
        <w:t xml:space="preserve">,  </w:t>
      </w:r>
      <w:r w:rsidR="00B00B7E">
        <w:fldChar w:fldCharType="begin"/>
      </w:r>
      <w:r w:rsidR="00B00B7E" w:rsidRPr="00CB0466">
        <w:rPr>
          <w:lang w:val="pl-PL"/>
        </w:rPr>
        <w:instrText xml:space="preserve"> HYPERLINK "http://www.gios.gov.pl/siedliska/pdf/przewodnik_metodyczny_zwierzeta_3.pdf" \h </w:instrText>
      </w:r>
      <w:r w:rsidR="00B00B7E">
        <w:fldChar w:fldCharType="separate"/>
      </w:r>
      <w:r w:rsidRPr="001C64E0">
        <w:rPr>
          <w:rStyle w:val="czeinternetowe"/>
          <w:rFonts w:ascii="Arial" w:hAnsi="Arial" w:cs="Arial"/>
          <w:iCs/>
        </w:rPr>
        <w:t>http://www.gios.gov.pl/siedliska/pdf/przewodnik_metodyczny_zwierzeta_3.pdf</w:t>
      </w:r>
      <w:r w:rsidR="00B00B7E">
        <w:rPr>
          <w:rStyle w:val="czeinternetowe"/>
          <w:rFonts w:ascii="Arial" w:hAnsi="Arial" w:cs="Arial"/>
          <w:iCs/>
        </w:rPr>
        <w:fldChar w:fldCharType="end"/>
      </w:r>
      <w:r w:rsidRPr="001C64E0">
        <w:rPr>
          <w:rFonts w:ascii="Arial" w:hAnsi="Arial" w:cs="Arial"/>
          <w:iCs/>
          <w:lang w:val="pl-PL"/>
        </w:rPr>
        <w:t xml:space="preserve">. </w:t>
      </w:r>
    </w:p>
    <w:p w:rsidR="001C64E0" w:rsidRDefault="00F03E1F" w:rsidP="001C64E0">
      <w:pPr>
        <w:pStyle w:val="Domylnie"/>
        <w:numPr>
          <w:ilvl w:val="3"/>
          <w:numId w:val="4"/>
        </w:numPr>
        <w:ind w:left="426" w:hanging="426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 xml:space="preserve">Oceny stanu ochrony należy dokonać zgodnie z załącznikiem do rozporządzenia Ministra Środowiska z dnia 17 lutego 2010 r. w sprawie sporządzania projektu planu zadań ochronnych dla obszaru Natura 2000 (Dz. U. Nr 43, poz. 186, z </w:t>
      </w:r>
      <w:proofErr w:type="spellStart"/>
      <w:r w:rsidRPr="001C64E0">
        <w:rPr>
          <w:rFonts w:ascii="Arial" w:hAnsi="Arial" w:cs="Arial"/>
          <w:lang w:val="pl-PL"/>
        </w:rPr>
        <w:t>późn</w:t>
      </w:r>
      <w:proofErr w:type="spellEnd"/>
      <w:r w:rsidRPr="001C64E0">
        <w:rPr>
          <w:rFonts w:ascii="Arial" w:hAnsi="Arial" w:cs="Arial"/>
          <w:lang w:val="pl-PL"/>
        </w:rPr>
        <w:t>. zm.). P</w:t>
      </w:r>
      <w:r w:rsidRPr="001C64E0">
        <w:rPr>
          <w:rFonts w:ascii="Arial" w:hAnsi="Arial" w:cs="Arial"/>
          <w:color w:val="000000"/>
          <w:lang w:val="pl-PL"/>
        </w:rPr>
        <w:t>arametr „szanse zachowania gatunku” należy ocenić biorąc w szczególności pod uwagę wyniki raportów o stanie zachowania gatunków na poziomie kraju, przekazane Komisji Europejskiej oraz ranking gatunków, które są dostępne na stronie internetowej GIOŚ pod adresem</w:t>
      </w:r>
      <w:r w:rsidRPr="001C64E0">
        <w:rPr>
          <w:rFonts w:ascii="Arial" w:hAnsi="Arial" w:cs="Arial"/>
          <w:iCs/>
          <w:lang w:val="pl-PL"/>
        </w:rPr>
        <w:t xml:space="preserve"> </w:t>
      </w:r>
      <w:r w:rsidR="00B00B7E">
        <w:fldChar w:fldCharType="begin"/>
      </w:r>
      <w:r w:rsidR="00B00B7E" w:rsidRPr="00CB0466">
        <w:rPr>
          <w:lang w:val="pl-PL"/>
        </w:rPr>
        <w:instrText xml:space="preserve"> HYPERLINK "http://www.gios.gov.pl/siedliska/" \h </w:instrText>
      </w:r>
      <w:r w:rsidR="00B00B7E">
        <w:fldChar w:fldCharType="separate"/>
      </w:r>
      <w:r w:rsidRPr="001C64E0">
        <w:rPr>
          <w:rStyle w:val="czeinternetowe"/>
          <w:rFonts w:ascii="Arial" w:hAnsi="Arial" w:cs="Arial"/>
          <w:iCs/>
        </w:rPr>
        <w:t>http://www.gios.gov.pl/siedliska/</w:t>
      </w:r>
      <w:r w:rsidR="00B00B7E">
        <w:rPr>
          <w:rStyle w:val="czeinternetowe"/>
          <w:rFonts w:ascii="Arial" w:hAnsi="Arial" w:cs="Arial"/>
          <w:iCs/>
        </w:rPr>
        <w:fldChar w:fldCharType="end"/>
      </w:r>
      <w:r w:rsidRPr="001C64E0">
        <w:rPr>
          <w:rFonts w:ascii="Arial" w:hAnsi="Arial" w:cs="Arial"/>
          <w:iCs/>
          <w:lang w:val="pl-PL"/>
        </w:rPr>
        <w:t xml:space="preserve"> oraz </w:t>
      </w:r>
      <w:r w:rsidRPr="001C64E0">
        <w:rPr>
          <w:rFonts w:ascii="Arial" w:hAnsi="Arial" w:cs="Arial"/>
          <w:color w:val="000000"/>
          <w:lang w:val="pl-PL"/>
        </w:rPr>
        <w:t>istniejące trendy i zjawiska (np. trendy zmian zagospodarowania przestrzennego). W</w:t>
      </w:r>
      <w:r w:rsidRPr="001C64E0">
        <w:rPr>
          <w:rFonts w:ascii="Arial" w:hAnsi="Arial" w:cs="Arial"/>
          <w:lang w:val="pl-PL"/>
        </w:rPr>
        <w:t xml:space="preserve"> przypadku braku kompletnej wiedzy, jako ocenę należy przyjąć, jeżeli to możliwe, „najlepsze możliwe oszacowanie najbardziej prawdopodobnej wartości skali”. </w:t>
      </w:r>
      <w:r w:rsidRPr="001C64E0">
        <w:rPr>
          <w:rFonts w:ascii="Arial" w:hAnsi="Arial" w:cs="Arial"/>
          <w:iCs/>
          <w:lang w:val="pl-PL"/>
        </w:rPr>
        <w:t>W przypadku braku danych, zapisuje się stan nieznany, czyli „XX”.</w:t>
      </w:r>
    </w:p>
    <w:p w:rsidR="00CD7498" w:rsidRPr="001C64E0" w:rsidRDefault="00F03E1F" w:rsidP="001C64E0">
      <w:pPr>
        <w:pStyle w:val="Domylnie"/>
        <w:numPr>
          <w:ilvl w:val="3"/>
          <w:numId w:val="4"/>
        </w:numPr>
        <w:ind w:left="426" w:hanging="426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Identyfikując zagrożenia należy wziąć pod uwagę zagrożenia istniejące i potencjalne dla zachowania lub odtworzenia właściwego stanu ochrony gatunku oraz zagrożenia wewnętrzne, jak i zewnętrzne – mające źródło poza obszarem.</w:t>
      </w:r>
    </w:p>
    <w:p w:rsidR="00CD7498" w:rsidRPr="001C64E0" w:rsidRDefault="00F03E1F" w:rsidP="00F03E1F">
      <w:pPr>
        <w:pStyle w:val="Domylnie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Podczas określania celów działań ochronnych należy kierować się:</w:t>
      </w:r>
    </w:p>
    <w:p w:rsidR="00CD7498" w:rsidRPr="001C64E0" w:rsidRDefault="00F03E1F" w:rsidP="00F03E1F">
      <w:pPr>
        <w:pStyle w:val="Domylnie"/>
        <w:widowControl w:val="0"/>
        <w:numPr>
          <w:ilvl w:val="0"/>
          <w:numId w:val="3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koniecznością likwidacji lub ograniczenia zidentyfikowanych zagrożeń;</w:t>
      </w:r>
    </w:p>
    <w:p w:rsidR="00CD7498" w:rsidRPr="001C64E0" w:rsidRDefault="00F03E1F" w:rsidP="00F03E1F">
      <w:pPr>
        <w:pStyle w:val="Domylnie"/>
        <w:widowControl w:val="0"/>
        <w:numPr>
          <w:ilvl w:val="0"/>
          <w:numId w:val="3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koniecznością utrzymania właściwego stanu ochrony, jeżeli ten stan został oceniony jako właściwy;</w:t>
      </w:r>
    </w:p>
    <w:p w:rsidR="00CD7498" w:rsidRPr="001C64E0" w:rsidRDefault="00F03E1F" w:rsidP="00F03E1F">
      <w:pPr>
        <w:pStyle w:val="Domylnie"/>
        <w:widowControl w:val="0"/>
        <w:numPr>
          <w:ilvl w:val="0"/>
          <w:numId w:val="3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koniecznością osiągnięcia właściwego stanu ochrony, jeżeli został oceniony jako niezadowalający lub zły;</w:t>
      </w:r>
    </w:p>
    <w:p w:rsidR="00CD7498" w:rsidRPr="001C64E0" w:rsidRDefault="00F03E1F" w:rsidP="00F03E1F">
      <w:pPr>
        <w:pStyle w:val="Domylnie"/>
        <w:widowControl w:val="0"/>
        <w:numPr>
          <w:ilvl w:val="0"/>
          <w:numId w:val="3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konieczność uzupełnienia stanu wiedzy o siedlisku, jeżeli określenie tego stanu ochrony było niemożliwe;</w:t>
      </w:r>
    </w:p>
    <w:p w:rsidR="00CD7498" w:rsidRPr="001C64E0" w:rsidRDefault="00F03E1F" w:rsidP="00F03E1F">
      <w:pPr>
        <w:pStyle w:val="Domylnie"/>
        <w:widowControl w:val="0"/>
        <w:numPr>
          <w:ilvl w:val="0"/>
          <w:numId w:val="3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możliwością ich osiągnięcia w okresie działania planu zadań ochronnych, tj. 10 lat;</w:t>
      </w:r>
    </w:p>
    <w:p w:rsidR="00CD7498" w:rsidRPr="001C64E0" w:rsidRDefault="00F03E1F" w:rsidP="00F03E1F">
      <w:pPr>
        <w:pStyle w:val="Domylnie"/>
        <w:widowControl w:val="0"/>
        <w:numPr>
          <w:ilvl w:val="0"/>
          <w:numId w:val="3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istniejącymi i potencjalnymi uwarunkowaniami (w tym społecznymi i gospodarczymi) oraz ograniczeniami (w tym: technicznymi, finansowymi, organizacyjnymi</w:t>
      </w:r>
      <w:r w:rsidRPr="001C64E0">
        <w:rPr>
          <w:rFonts w:ascii="Arial" w:hAnsi="Arial" w:cs="Arial"/>
          <w:lang w:val="pl-PL"/>
        </w:rPr>
        <w:br/>
        <w:t>i wynikającymi z braku wiedzy);</w:t>
      </w:r>
    </w:p>
    <w:p w:rsidR="00CD7498" w:rsidRPr="001C64E0" w:rsidRDefault="00F03E1F" w:rsidP="00F03E1F">
      <w:pPr>
        <w:pStyle w:val="Domylnie"/>
        <w:widowControl w:val="0"/>
        <w:numPr>
          <w:ilvl w:val="0"/>
          <w:numId w:val="3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możliwością ich monitorowania i weryfikacji.</w:t>
      </w:r>
    </w:p>
    <w:p w:rsidR="00CD7498" w:rsidRPr="001C64E0" w:rsidRDefault="00F03E1F" w:rsidP="00F03E1F">
      <w:pPr>
        <w:pStyle w:val="Domylnie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Podczas określania działań ochronnych należy określić działania ochronne ze wskazaniem obszarów ich wdrażania w tym dotyczące w szczególności</w:t>
      </w:r>
    </w:p>
    <w:p w:rsidR="00CD7498" w:rsidRPr="001C64E0" w:rsidRDefault="00F03E1F" w:rsidP="00F03E1F">
      <w:pPr>
        <w:pStyle w:val="Domylnie"/>
        <w:numPr>
          <w:ilvl w:val="0"/>
          <w:numId w:val="9"/>
        </w:numPr>
        <w:ind w:left="709" w:hanging="283"/>
        <w:jc w:val="both"/>
        <w:rPr>
          <w:rFonts w:ascii="Arial" w:hAnsi="Arial" w:cs="Arial"/>
        </w:rPr>
      </w:pPr>
      <w:proofErr w:type="spellStart"/>
      <w:r w:rsidRPr="001C64E0">
        <w:rPr>
          <w:rFonts w:ascii="Arial" w:hAnsi="Arial" w:cs="Arial"/>
          <w:iCs/>
        </w:rPr>
        <w:t>ochrony</w:t>
      </w:r>
      <w:proofErr w:type="spellEnd"/>
      <w:r w:rsidRPr="001C64E0">
        <w:rPr>
          <w:rFonts w:ascii="Arial" w:hAnsi="Arial" w:cs="Arial"/>
          <w:iCs/>
        </w:rPr>
        <w:t xml:space="preserve"> </w:t>
      </w:r>
      <w:proofErr w:type="spellStart"/>
      <w:r w:rsidRPr="001C64E0">
        <w:rPr>
          <w:rFonts w:ascii="Arial" w:hAnsi="Arial" w:cs="Arial"/>
          <w:iCs/>
        </w:rPr>
        <w:t>czynnej</w:t>
      </w:r>
      <w:proofErr w:type="spellEnd"/>
      <w:r w:rsidRPr="001C64E0">
        <w:rPr>
          <w:rFonts w:ascii="Arial" w:hAnsi="Arial" w:cs="Arial"/>
          <w:iCs/>
        </w:rPr>
        <w:t xml:space="preserve"> </w:t>
      </w:r>
      <w:proofErr w:type="spellStart"/>
      <w:r w:rsidRPr="001C64E0">
        <w:rPr>
          <w:rFonts w:ascii="Arial" w:hAnsi="Arial" w:cs="Arial"/>
          <w:iCs/>
        </w:rPr>
        <w:t>siedlisk</w:t>
      </w:r>
      <w:proofErr w:type="spellEnd"/>
      <w:r w:rsidRPr="001C64E0">
        <w:rPr>
          <w:rFonts w:ascii="Arial" w:hAnsi="Arial" w:cs="Arial"/>
          <w:iCs/>
        </w:rPr>
        <w:t xml:space="preserve"> </w:t>
      </w:r>
      <w:proofErr w:type="spellStart"/>
      <w:r w:rsidRPr="001C64E0">
        <w:rPr>
          <w:rFonts w:ascii="Arial" w:hAnsi="Arial" w:cs="Arial"/>
          <w:iCs/>
        </w:rPr>
        <w:t>gatunku</w:t>
      </w:r>
      <w:proofErr w:type="spellEnd"/>
      <w:r w:rsidRPr="001C64E0">
        <w:rPr>
          <w:rFonts w:ascii="Arial" w:hAnsi="Arial" w:cs="Arial"/>
          <w:iCs/>
        </w:rPr>
        <w:t>,</w:t>
      </w:r>
    </w:p>
    <w:p w:rsidR="00CD7498" w:rsidRPr="001C64E0" w:rsidRDefault="00F03E1F" w:rsidP="00F03E1F">
      <w:pPr>
        <w:pStyle w:val="Domylnie"/>
        <w:numPr>
          <w:ilvl w:val="0"/>
          <w:numId w:val="9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iCs/>
          <w:lang w:val="pl-PL"/>
        </w:rPr>
        <w:t>uzupełnienia stanu wiedzy o gatunku i jego siedliskach oraz uwarunkowaniach ich ochrony,</w:t>
      </w:r>
    </w:p>
    <w:p w:rsidR="00CD7498" w:rsidRPr="00BD66AE" w:rsidRDefault="00F03E1F" w:rsidP="00BD66AE">
      <w:pPr>
        <w:pStyle w:val="Domylnie"/>
        <w:numPr>
          <w:ilvl w:val="0"/>
          <w:numId w:val="9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iCs/>
          <w:lang w:val="pl-PL"/>
        </w:rPr>
        <w:t>monitoringu realizacji celów działań ochronnych oraz monitoringu stanu ochrony gatunku.</w:t>
      </w:r>
    </w:p>
    <w:p w:rsidR="00CD7498" w:rsidRPr="001C64E0" w:rsidRDefault="00F03E1F">
      <w:pPr>
        <w:pStyle w:val="Domylnie"/>
        <w:rPr>
          <w:rFonts w:ascii="Arial" w:hAnsi="Arial" w:cs="Arial"/>
        </w:rPr>
      </w:pPr>
      <w:proofErr w:type="spellStart"/>
      <w:r w:rsidRPr="001C64E0">
        <w:rPr>
          <w:rFonts w:ascii="Arial" w:hAnsi="Arial" w:cs="Arial"/>
          <w:b/>
        </w:rPr>
        <w:lastRenderedPageBreak/>
        <w:t>Przedmiot</w:t>
      </w:r>
      <w:proofErr w:type="spellEnd"/>
      <w:r w:rsidRPr="001C64E0">
        <w:rPr>
          <w:rFonts w:ascii="Arial" w:hAnsi="Arial" w:cs="Arial"/>
          <w:b/>
        </w:rPr>
        <w:t xml:space="preserve"> </w:t>
      </w:r>
      <w:proofErr w:type="spellStart"/>
      <w:r w:rsidRPr="001C64E0">
        <w:rPr>
          <w:rFonts w:ascii="Arial" w:hAnsi="Arial" w:cs="Arial"/>
          <w:b/>
        </w:rPr>
        <w:t>zamówienia</w:t>
      </w:r>
      <w:proofErr w:type="spellEnd"/>
      <w:r w:rsidRPr="001C64E0">
        <w:rPr>
          <w:rFonts w:ascii="Arial" w:hAnsi="Arial" w:cs="Arial"/>
          <w:b/>
        </w:rPr>
        <w:t xml:space="preserve"> </w:t>
      </w:r>
      <w:proofErr w:type="spellStart"/>
      <w:r w:rsidRPr="001C64E0">
        <w:rPr>
          <w:rFonts w:ascii="Arial" w:hAnsi="Arial" w:cs="Arial"/>
          <w:b/>
        </w:rPr>
        <w:t>obejmuje</w:t>
      </w:r>
      <w:proofErr w:type="spellEnd"/>
    </w:p>
    <w:p w:rsidR="00CD7498" w:rsidRPr="001C64E0" w:rsidRDefault="00F03E1F" w:rsidP="001C64E0">
      <w:pPr>
        <w:pStyle w:val="Domylnie"/>
        <w:numPr>
          <w:ilvl w:val="3"/>
          <w:numId w:val="6"/>
        </w:numPr>
        <w:ind w:left="426" w:hanging="426"/>
        <w:jc w:val="both"/>
        <w:rPr>
          <w:rFonts w:ascii="Arial" w:hAnsi="Arial" w:cs="Arial"/>
        </w:rPr>
      </w:pPr>
      <w:proofErr w:type="spellStart"/>
      <w:r w:rsidRPr="001C64E0">
        <w:rPr>
          <w:rFonts w:ascii="Arial" w:hAnsi="Arial" w:cs="Arial"/>
        </w:rPr>
        <w:t>Opracowanie</w:t>
      </w:r>
      <w:proofErr w:type="spellEnd"/>
      <w:r w:rsidRPr="001C64E0">
        <w:rPr>
          <w:rFonts w:ascii="Arial" w:hAnsi="Arial" w:cs="Arial"/>
        </w:rPr>
        <w:t xml:space="preserve"> </w:t>
      </w:r>
      <w:proofErr w:type="spellStart"/>
      <w:r w:rsidRPr="001C64E0">
        <w:rPr>
          <w:rFonts w:ascii="Arial" w:hAnsi="Arial" w:cs="Arial"/>
        </w:rPr>
        <w:t>tekstowe</w:t>
      </w:r>
      <w:proofErr w:type="spellEnd"/>
      <w:r w:rsidRPr="001C64E0">
        <w:rPr>
          <w:rFonts w:ascii="Arial" w:hAnsi="Arial" w:cs="Arial"/>
        </w:rPr>
        <w:t xml:space="preserve"> </w:t>
      </w:r>
      <w:proofErr w:type="spellStart"/>
      <w:r w:rsidRPr="001C64E0">
        <w:rPr>
          <w:rFonts w:ascii="Arial" w:hAnsi="Arial" w:cs="Arial"/>
        </w:rPr>
        <w:t>zawierające</w:t>
      </w:r>
      <w:proofErr w:type="spellEnd"/>
      <w:r w:rsidRPr="001C64E0">
        <w:rPr>
          <w:rFonts w:ascii="Arial" w:hAnsi="Arial" w:cs="Arial"/>
        </w:rPr>
        <w:t>:</w:t>
      </w:r>
    </w:p>
    <w:p w:rsidR="00CD7498" w:rsidRPr="001C64E0" w:rsidRDefault="00F03E1F" w:rsidP="00F03E1F">
      <w:pPr>
        <w:pStyle w:val="Domylnie"/>
        <w:numPr>
          <w:ilvl w:val="0"/>
          <w:numId w:val="6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opis rozmieszczenia gatunku w obszarze Natura 2000 wraz z mapą stanowisk;</w:t>
      </w:r>
    </w:p>
    <w:p w:rsidR="00CD7498" w:rsidRPr="001C64E0" w:rsidRDefault="00F03E1F" w:rsidP="00F03E1F">
      <w:pPr>
        <w:pStyle w:val="Domylnie"/>
        <w:numPr>
          <w:ilvl w:val="0"/>
          <w:numId w:val="6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charakterystykę zagrożeń składającą się z nazwy i kodu zagrożenia (zgodnie</w:t>
      </w:r>
      <w:r w:rsidRPr="001C64E0">
        <w:rPr>
          <w:rFonts w:ascii="Arial" w:hAnsi="Arial" w:cs="Arial"/>
          <w:lang w:val="pl-PL"/>
        </w:rPr>
        <w:br/>
        <w:t xml:space="preserve">z załącznikiem nr 5 do </w:t>
      </w:r>
      <w:r w:rsidRPr="001C64E0">
        <w:rPr>
          <w:rFonts w:ascii="Arial" w:hAnsi="Arial" w:cs="Arial"/>
          <w:i/>
          <w:lang w:val="pl-PL"/>
        </w:rPr>
        <w:t>Instrukcji wypełniania Standardowego Formularza Danych obszaru Natura 2000. Wersja 2012.1</w:t>
      </w:r>
      <w:r w:rsidRPr="001C64E0">
        <w:rPr>
          <w:rFonts w:ascii="Arial" w:hAnsi="Arial" w:cs="Arial"/>
          <w:lang w:val="pl-PL"/>
        </w:rPr>
        <w:t xml:space="preserve"> dostępnej pod adresem </w:t>
      </w:r>
      <w:r w:rsidR="00B00B7E">
        <w:fldChar w:fldCharType="begin"/>
      </w:r>
      <w:r w:rsidR="00B00B7E" w:rsidRPr="00CB0466">
        <w:rPr>
          <w:lang w:val="pl-PL"/>
        </w:rPr>
        <w:instrText xml:space="preserve"> HYPERLINK "http://natura2000.gdos.gov.pl/strona/nowy-element-3" \h </w:instrText>
      </w:r>
      <w:r w:rsidR="00B00B7E">
        <w:fldChar w:fldCharType="separate"/>
      </w:r>
      <w:r w:rsidRPr="001C64E0">
        <w:rPr>
          <w:rStyle w:val="czeinternetowe"/>
          <w:rFonts w:ascii="Arial" w:hAnsi="Arial" w:cs="Arial"/>
        </w:rPr>
        <w:t>http://natura2000.gdos.gov.pl/strona/nowy-element-3</w:t>
      </w:r>
      <w:r w:rsidR="00B00B7E">
        <w:rPr>
          <w:rStyle w:val="czeinternetowe"/>
          <w:rFonts w:ascii="Arial" w:hAnsi="Arial" w:cs="Arial"/>
        </w:rPr>
        <w:fldChar w:fldCharType="end"/>
      </w:r>
      <w:r w:rsidRPr="001C64E0">
        <w:rPr>
          <w:rFonts w:ascii="Arial" w:hAnsi="Arial" w:cs="Arial"/>
          <w:lang w:val="pl-PL"/>
        </w:rPr>
        <w:t>) oraz jego opis;</w:t>
      </w:r>
    </w:p>
    <w:p w:rsidR="00CD7498" w:rsidRPr="001C64E0" w:rsidRDefault="00F03E1F" w:rsidP="00F03E1F">
      <w:pPr>
        <w:pStyle w:val="Domylnie"/>
        <w:numPr>
          <w:ilvl w:val="0"/>
          <w:numId w:val="6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karty obserwacji gatunku na stanowiskach;</w:t>
      </w:r>
    </w:p>
    <w:p w:rsidR="00CD7498" w:rsidRPr="001C64E0" w:rsidRDefault="00F03E1F" w:rsidP="00F03E1F">
      <w:pPr>
        <w:pStyle w:val="Domylnie"/>
        <w:numPr>
          <w:ilvl w:val="0"/>
          <w:numId w:val="6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dokumentację fotograficzną – nie mniej niż trzy fotografie gatunku lub jego siedliska, jaj etc.;</w:t>
      </w:r>
    </w:p>
    <w:p w:rsidR="00CD7498" w:rsidRPr="001C64E0" w:rsidRDefault="00F03E1F" w:rsidP="00F03E1F">
      <w:pPr>
        <w:pStyle w:val="Domylnie"/>
        <w:numPr>
          <w:ilvl w:val="0"/>
          <w:numId w:val="6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łączną ocenę stanu ochrony gatunku w obszarze Natura 2000;</w:t>
      </w:r>
    </w:p>
    <w:p w:rsidR="00CD7498" w:rsidRPr="001C64E0" w:rsidRDefault="00F03E1F" w:rsidP="00F03E1F">
      <w:pPr>
        <w:pStyle w:val="Domylnie"/>
        <w:numPr>
          <w:ilvl w:val="0"/>
          <w:numId w:val="6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w razie potrzeby – propozycję działań ochronnych z podaniem obszaru wdrażania.</w:t>
      </w:r>
    </w:p>
    <w:p w:rsidR="00CD7498" w:rsidRPr="001C64E0" w:rsidRDefault="00F03E1F" w:rsidP="001C64E0">
      <w:pPr>
        <w:pStyle w:val="Domylnie"/>
        <w:numPr>
          <w:ilvl w:val="0"/>
          <w:numId w:val="12"/>
        </w:numPr>
        <w:ind w:left="426" w:hanging="426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Opracowanie w wersji elektronicznej obejmujące:</w:t>
      </w:r>
    </w:p>
    <w:p w:rsidR="00CD7498" w:rsidRPr="001C64E0" w:rsidRDefault="00F03E1F" w:rsidP="00F03E1F">
      <w:pPr>
        <w:pStyle w:val="Domylnie"/>
        <w:numPr>
          <w:ilvl w:val="0"/>
          <w:numId w:val="7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 xml:space="preserve">cyfrowe warstwy informacyjne dokumentujące rozmieszczenie gatunku w obszarze Natura 2000 sporządzone zgodnie ze </w:t>
      </w:r>
      <w:r w:rsidRPr="001C64E0">
        <w:rPr>
          <w:rFonts w:ascii="Arial" w:hAnsi="Arial" w:cs="Arial"/>
          <w:i/>
          <w:lang w:val="pl-PL"/>
        </w:rPr>
        <w:t xml:space="preserve">Standardem Danych GIS w ochronie przyrody </w:t>
      </w:r>
      <w:r w:rsidRPr="001C64E0">
        <w:rPr>
          <w:rFonts w:ascii="Arial" w:hAnsi="Arial" w:cs="Arial"/>
          <w:lang w:val="pl-PL"/>
        </w:rPr>
        <w:t>(</w:t>
      </w:r>
      <w:proofErr w:type="spellStart"/>
      <w:r w:rsidRPr="001C64E0">
        <w:rPr>
          <w:rFonts w:ascii="Arial" w:hAnsi="Arial" w:cs="Arial"/>
          <w:lang w:val="pl-PL"/>
        </w:rPr>
        <w:t>Łochyński</w:t>
      </w:r>
      <w:proofErr w:type="spellEnd"/>
      <w:r w:rsidRPr="001C64E0">
        <w:rPr>
          <w:rFonts w:ascii="Arial" w:hAnsi="Arial" w:cs="Arial"/>
          <w:lang w:val="pl-PL"/>
        </w:rPr>
        <w:t>, Guzik 2009);</w:t>
      </w:r>
    </w:p>
    <w:p w:rsidR="00CD7498" w:rsidRPr="001C64E0" w:rsidRDefault="00F03E1F" w:rsidP="00F03E1F">
      <w:pPr>
        <w:pStyle w:val="Domylnie"/>
        <w:numPr>
          <w:ilvl w:val="0"/>
          <w:numId w:val="7"/>
        </w:numPr>
        <w:ind w:left="709" w:hanging="283"/>
        <w:jc w:val="both"/>
        <w:rPr>
          <w:rFonts w:ascii="Arial" w:hAnsi="Arial" w:cs="Arial"/>
        </w:rPr>
      </w:pPr>
      <w:proofErr w:type="spellStart"/>
      <w:r w:rsidRPr="001C64E0">
        <w:rPr>
          <w:rFonts w:ascii="Arial" w:hAnsi="Arial" w:cs="Arial"/>
        </w:rPr>
        <w:t>elektroniczną</w:t>
      </w:r>
      <w:proofErr w:type="spellEnd"/>
      <w:r w:rsidRPr="001C64E0">
        <w:rPr>
          <w:rFonts w:ascii="Arial" w:hAnsi="Arial" w:cs="Arial"/>
        </w:rPr>
        <w:t xml:space="preserve"> </w:t>
      </w:r>
      <w:proofErr w:type="spellStart"/>
      <w:r w:rsidRPr="001C64E0">
        <w:rPr>
          <w:rFonts w:ascii="Arial" w:hAnsi="Arial" w:cs="Arial"/>
        </w:rPr>
        <w:t>wersję</w:t>
      </w:r>
      <w:proofErr w:type="spellEnd"/>
      <w:r w:rsidRPr="001C64E0">
        <w:rPr>
          <w:rFonts w:ascii="Arial" w:hAnsi="Arial" w:cs="Arial"/>
        </w:rPr>
        <w:t xml:space="preserve"> </w:t>
      </w:r>
      <w:proofErr w:type="spellStart"/>
      <w:r w:rsidRPr="001C64E0">
        <w:rPr>
          <w:rFonts w:ascii="Arial" w:hAnsi="Arial" w:cs="Arial"/>
        </w:rPr>
        <w:t>opracowania</w:t>
      </w:r>
      <w:proofErr w:type="spellEnd"/>
      <w:r w:rsidRPr="001C64E0">
        <w:rPr>
          <w:rFonts w:ascii="Arial" w:hAnsi="Arial" w:cs="Arial"/>
        </w:rPr>
        <w:t xml:space="preserve"> </w:t>
      </w:r>
      <w:proofErr w:type="spellStart"/>
      <w:r w:rsidRPr="001C64E0">
        <w:rPr>
          <w:rFonts w:ascii="Arial" w:hAnsi="Arial" w:cs="Arial"/>
        </w:rPr>
        <w:t>tekstowego</w:t>
      </w:r>
      <w:proofErr w:type="spellEnd"/>
      <w:r w:rsidRPr="001C64E0">
        <w:rPr>
          <w:rFonts w:ascii="Arial" w:hAnsi="Arial" w:cs="Arial"/>
        </w:rPr>
        <w:t>;</w:t>
      </w:r>
    </w:p>
    <w:p w:rsidR="00CD7498" w:rsidRPr="00BD66AE" w:rsidRDefault="00F03E1F" w:rsidP="00BD66AE">
      <w:pPr>
        <w:pStyle w:val="Domylnie"/>
        <w:numPr>
          <w:ilvl w:val="0"/>
          <w:numId w:val="7"/>
        </w:numPr>
        <w:ind w:left="709" w:hanging="283"/>
        <w:jc w:val="both"/>
        <w:rPr>
          <w:rFonts w:ascii="Arial" w:hAnsi="Arial" w:cs="Arial"/>
        </w:rPr>
      </w:pPr>
      <w:proofErr w:type="spellStart"/>
      <w:r w:rsidRPr="001C64E0">
        <w:rPr>
          <w:rFonts w:ascii="Arial" w:hAnsi="Arial" w:cs="Arial"/>
        </w:rPr>
        <w:t>fotografie</w:t>
      </w:r>
      <w:proofErr w:type="spellEnd"/>
      <w:r w:rsidRPr="001C64E0">
        <w:rPr>
          <w:rFonts w:ascii="Arial" w:hAnsi="Arial" w:cs="Arial"/>
        </w:rPr>
        <w:t>.</w:t>
      </w:r>
    </w:p>
    <w:p w:rsidR="00CD7498" w:rsidRPr="001C64E0" w:rsidRDefault="00F03E1F">
      <w:pPr>
        <w:pStyle w:val="Domylnie"/>
        <w:rPr>
          <w:rFonts w:ascii="Arial" w:hAnsi="Arial" w:cs="Arial"/>
        </w:rPr>
      </w:pPr>
      <w:r w:rsidRPr="001C64E0">
        <w:rPr>
          <w:rFonts w:ascii="Arial" w:hAnsi="Arial" w:cs="Arial"/>
          <w:b/>
        </w:rPr>
        <w:t xml:space="preserve">Forma </w:t>
      </w:r>
      <w:proofErr w:type="spellStart"/>
      <w:r w:rsidRPr="001C64E0">
        <w:rPr>
          <w:rFonts w:ascii="Arial" w:hAnsi="Arial" w:cs="Arial"/>
          <w:b/>
        </w:rPr>
        <w:t>przedmiotu</w:t>
      </w:r>
      <w:proofErr w:type="spellEnd"/>
      <w:r w:rsidRPr="001C64E0">
        <w:rPr>
          <w:rFonts w:ascii="Arial" w:hAnsi="Arial" w:cs="Arial"/>
          <w:b/>
        </w:rPr>
        <w:t xml:space="preserve"> </w:t>
      </w:r>
      <w:proofErr w:type="spellStart"/>
      <w:r w:rsidRPr="001C64E0">
        <w:rPr>
          <w:rFonts w:ascii="Arial" w:hAnsi="Arial" w:cs="Arial"/>
          <w:b/>
        </w:rPr>
        <w:t>zamówienia</w:t>
      </w:r>
      <w:proofErr w:type="spellEnd"/>
    </w:p>
    <w:p w:rsidR="00CD7498" w:rsidRPr="001C64E0" w:rsidRDefault="00F03E1F" w:rsidP="001C64E0">
      <w:pPr>
        <w:pStyle w:val="Domylnie"/>
        <w:numPr>
          <w:ilvl w:val="3"/>
          <w:numId w:val="4"/>
        </w:numPr>
        <w:ind w:left="426" w:hanging="426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Dwa wydruki dokumentu tekstowego oprawione w sposób uniemożliwiający wydostawanie się kartek.</w:t>
      </w:r>
    </w:p>
    <w:p w:rsidR="00CD7498" w:rsidRPr="001C64E0" w:rsidRDefault="00F03E1F" w:rsidP="001C64E0">
      <w:pPr>
        <w:pStyle w:val="Domylnie"/>
        <w:numPr>
          <w:ilvl w:val="3"/>
          <w:numId w:val="4"/>
        </w:numPr>
        <w:ind w:left="426" w:hanging="426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Dwie kopie wersji elektronicznej zapisane na nośniku cyfrowym, np. płycie CD-R lub DVD-R:</w:t>
      </w:r>
    </w:p>
    <w:p w:rsidR="00CD7498" w:rsidRPr="001C64E0" w:rsidRDefault="00F03E1F" w:rsidP="00F03E1F">
      <w:pPr>
        <w:pStyle w:val="Domylnie"/>
        <w:numPr>
          <w:ilvl w:val="0"/>
          <w:numId w:val="8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dokument tekstowy w formacie DOC lub DOCX;</w:t>
      </w:r>
    </w:p>
    <w:p w:rsidR="00CD7498" w:rsidRPr="001C64E0" w:rsidRDefault="00F03E1F" w:rsidP="00F03E1F">
      <w:pPr>
        <w:pStyle w:val="Domylnie"/>
        <w:numPr>
          <w:ilvl w:val="0"/>
          <w:numId w:val="8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 xml:space="preserve">fotografie w formacie JPG; rozdzielczość nie mniejsza niż 300 </w:t>
      </w:r>
      <w:proofErr w:type="spellStart"/>
      <w:r w:rsidRPr="001C64E0">
        <w:rPr>
          <w:rFonts w:ascii="Arial" w:hAnsi="Arial" w:cs="Arial"/>
          <w:lang w:val="pl-PL"/>
        </w:rPr>
        <w:t>dpi</w:t>
      </w:r>
      <w:proofErr w:type="spellEnd"/>
      <w:r w:rsidRPr="001C64E0">
        <w:rPr>
          <w:rFonts w:ascii="Arial" w:hAnsi="Arial" w:cs="Arial"/>
          <w:lang w:val="pl-PL"/>
        </w:rPr>
        <w:t>;</w:t>
      </w:r>
    </w:p>
    <w:p w:rsidR="00CD7498" w:rsidRPr="001C64E0" w:rsidRDefault="00F03E1F" w:rsidP="00F03E1F">
      <w:pPr>
        <w:pStyle w:val="Domylnie"/>
        <w:numPr>
          <w:ilvl w:val="0"/>
          <w:numId w:val="8"/>
        </w:numPr>
        <w:ind w:left="709" w:hanging="283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cyfrowe warstwy informacyjne w formacie SHP.</w:t>
      </w:r>
    </w:p>
    <w:p w:rsidR="00CD7498" w:rsidRPr="001C64E0" w:rsidRDefault="00CD7498">
      <w:pPr>
        <w:pStyle w:val="Domylnie"/>
        <w:rPr>
          <w:rFonts w:ascii="Arial" w:hAnsi="Arial" w:cs="Arial"/>
          <w:lang w:val="pl-PL"/>
        </w:rPr>
      </w:pPr>
    </w:p>
    <w:p w:rsidR="00CD7498" w:rsidRPr="001C64E0" w:rsidRDefault="00F03E1F">
      <w:pPr>
        <w:pStyle w:val="Domylnie"/>
        <w:rPr>
          <w:rFonts w:ascii="Arial" w:hAnsi="Arial" w:cs="Arial"/>
        </w:rPr>
      </w:pPr>
      <w:proofErr w:type="spellStart"/>
      <w:r w:rsidRPr="001C64E0">
        <w:rPr>
          <w:rFonts w:ascii="Arial" w:hAnsi="Arial" w:cs="Arial"/>
        </w:rPr>
        <w:t>Załączniki</w:t>
      </w:r>
      <w:proofErr w:type="spellEnd"/>
      <w:r w:rsidRPr="001C64E0">
        <w:rPr>
          <w:rFonts w:ascii="Arial" w:hAnsi="Arial" w:cs="Arial"/>
        </w:rPr>
        <w:t>:</w:t>
      </w:r>
    </w:p>
    <w:p w:rsidR="00CD7498" w:rsidRPr="001C64E0" w:rsidRDefault="00F03E1F" w:rsidP="00F03E1F">
      <w:pPr>
        <w:pStyle w:val="Domylnie"/>
        <w:numPr>
          <w:ilvl w:val="0"/>
          <w:numId w:val="10"/>
        </w:numPr>
        <w:spacing w:after="120" w:line="100" w:lineRule="atLeast"/>
        <w:jc w:val="both"/>
        <w:rPr>
          <w:rFonts w:ascii="Arial" w:hAnsi="Arial" w:cs="Arial"/>
          <w:lang w:val="pl-PL"/>
        </w:rPr>
      </w:pPr>
      <w:r w:rsidRPr="001C64E0">
        <w:rPr>
          <w:rFonts w:ascii="Arial" w:hAnsi="Arial" w:cs="Arial"/>
          <w:lang w:val="pl-PL"/>
        </w:rPr>
        <w:t>Dokumentacje stworzone na potrzeby planów zadań ochronnych dla obszarów Natura 2000 wymienionych w pkt</w:t>
      </w:r>
      <w:r w:rsidRPr="001C64E0">
        <w:rPr>
          <w:rFonts w:ascii="Arial" w:hAnsi="Arial" w:cs="Arial"/>
          <w:color w:val="FF0000"/>
          <w:lang w:val="pl-PL"/>
        </w:rPr>
        <w:t xml:space="preserve">. </w:t>
      </w:r>
      <w:r w:rsidRPr="001C64E0">
        <w:rPr>
          <w:rFonts w:ascii="Arial" w:hAnsi="Arial" w:cs="Arial"/>
          <w:color w:val="000000"/>
          <w:lang w:val="pl-PL"/>
        </w:rPr>
        <w:t>3 Opisu przedmiotu zamówienia</w:t>
      </w:r>
    </w:p>
    <w:p w:rsidR="00CD7498" w:rsidRPr="001C64E0" w:rsidRDefault="00CD7498">
      <w:pPr>
        <w:pStyle w:val="Domylnie"/>
        <w:jc w:val="both"/>
        <w:rPr>
          <w:rFonts w:ascii="Arial" w:hAnsi="Arial" w:cs="Arial"/>
          <w:lang w:val="pl-PL"/>
        </w:rPr>
      </w:pPr>
    </w:p>
    <w:p w:rsidR="00CD7498" w:rsidRPr="001C64E0" w:rsidRDefault="00CD7498" w:rsidP="00D60BA1">
      <w:pPr>
        <w:pStyle w:val="Domylnie"/>
        <w:jc w:val="center"/>
        <w:rPr>
          <w:rFonts w:ascii="Arial" w:hAnsi="Arial" w:cs="Arial"/>
          <w:lang w:val="pl-PL"/>
        </w:rPr>
      </w:pPr>
    </w:p>
    <w:p w:rsidR="001C64E0" w:rsidRPr="001C64E0" w:rsidRDefault="001C64E0">
      <w:pPr>
        <w:pStyle w:val="Domylnie"/>
        <w:jc w:val="center"/>
        <w:rPr>
          <w:rFonts w:ascii="Arial" w:hAnsi="Arial" w:cs="Arial"/>
          <w:lang w:val="pl-PL"/>
        </w:rPr>
      </w:pPr>
    </w:p>
    <w:sectPr w:rsidR="001C64E0" w:rsidRPr="001C64E0" w:rsidSect="00D60BA1">
      <w:headerReference w:type="first" r:id="rId9"/>
      <w:pgSz w:w="11906" w:h="16838"/>
      <w:pgMar w:top="1418" w:right="1418" w:bottom="1418" w:left="1418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7E" w:rsidRDefault="00B00B7E">
      <w:pPr>
        <w:spacing w:after="0" w:line="240" w:lineRule="auto"/>
      </w:pPr>
      <w:r>
        <w:separator/>
      </w:r>
    </w:p>
  </w:endnote>
  <w:endnote w:type="continuationSeparator" w:id="0">
    <w:p w:rsidR="00B00B7E" w:rsidRDefault="00B0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7E" w:rsidRDefault="00B00B7E">
      <w:pPr>
        <w:spacing w:after="0" w:line="240" w:lineRule="auto"/>
      </w:pPr>
      <w:r>
        <w:separator/>
      </w:r>
    </w:p>
  </w:footnote>
  <w:footnote w:type="continuationSeparator" w:id="0">
    <w:p w:rsidR="00B00B7E" w:rsidRDefault="00B0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BA1" w:rsidRDefault="00D60BA1">
    <w:pPr>
      <w:pStyle w:val="Nagwek"/>
    </w:pPr>
    <w:r>
      <w:rPr>
        <w:noProof/>
        <w:lang w:val="pl-PL"/>
      </w:rPr>
      <w:drawing>
        <wp:inline distT="0" distB="0" distL="0" distR="0" wp14:anchorId="3A6E917B" wp14:editId="3ECFE4D0">
          <wp:extent cx="4899660" cy="558800"/>
          <wp:effectExtent l="0" t="0" r="0" b="0"/>
          <wp:docPr id="11" name="Picture" descr="C:\Documents and Settings\Aleksandra\Pulpit\seba wzory pism\logo-pois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C:\Documents and Settings\Aleksandra\Pulpit\seba wzory pism\logo-pois8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66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2D1A"/>
    <w:multiLevelType w:val="multilevel"/>
    <w:tmpl w:val="F1A03E4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E3D732A"/>
    <w:multiLevelType w:val="multilevel"/>
    <w:tmpl w:val="B1A8045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1D82D50"/>
    <w:multiLevelType w:val="multilevel"/>
    <w:tmpl w:val="47DAF4DA"/>
    <w:lvl w:ilvl="0">
      <w:start w:val="13"/>
      <w:numFmt w:val="decimal"/>
      <w:pStyle w:val="Nagwek1"/>
      <w:lvlText w:val="%1"/>
      <w:lvlJc w:val="left"/>
      <w:pPr>
        <w:tabs>
          <w:tab w:val="num" w:pos="3550"/>
        </w:tabs>
        <w:ind w:left="3550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E8903F2"/>
    <w:multiLevelType w:val="multilevel"/>
    <w:tmpl w:val="117890F2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3CE20F3"/>
    <w:multiLevelType w:val="multilevel"/>
    <w:tmpl w:val="975C3DB2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FF43463"/>
    <w:multiLevelType w:val="multilevel"/>
    <w:tmpl w:val="125259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A1B97"/>
    <w:multiLevelType w:val="multilevel"/>
    <w:tmpl w:val="4116515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18B01A0"/>
    <w:multiLevelType w:val="multilevel"/>
    <w:tmpl w:val="20C806D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1C3F9A"/>
    <w:multiLevelType w:val="multilevel"/>
    <w:tmpl w:val="7DF48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C4C80"/>
    <w:multiLevelType w:val="multilevel"/>
    <w:tmpl w:val="1BD403E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47F1A26"/>
    <w:multiLevelType w:val="multilevel"/>
    <w:tmpl w:val="92786AB4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1">
    <w:nsid w:val="6B89358E"/>
    <w:multiLevelType w:val="hybridMultilevel"/>
    <w:tmpl w:val="087C003A"/>
    <w:lvl w:ilvl="0" w:tplc="4BFED54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9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  <w:num w:numId="11">
    <w:abstractNumId w:val="7"/>
  </w:num>
  <w:num w:numId="1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498"/>
    <w:rsid w:val="001C64E0"/>
    <w:rsid w:val="009C482F"/>
    <w:rsid w:val="00B00B7E"/>
    <w:rsid w:val="00BD66AE"/>
    <w:rsid w:val="00CB0466"/>
    <w:rsid w:val="00CD7498"/>
    <w:rsid w:val="00D60BA1"/>
    <w:rsid w:val="00E6184F"/>
    <w:rsid w:val="00F03E1F"/>
    <w:rsid w:val="00F2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2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2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E9C7B-7AC0-45DC-9547-9EC899E75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863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Microsoft</Company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creator>Wojciech Rakowski</dc:creator>
  <cp:lastModifiedBy>k.molenda</cp:lastModifiedBy>
  <cp:revision>6</cp:revision>
  <cp:lastPrinted>2014-08-11T12:49:00Z</cp:lastPrinted>
  <dcterms:created xsi:type="dcterms:W3CDTF">2014-09-02T12:26:00Z</dcterms:created>
  <dcterms:modified xsi:type="dcterms:W3CDTF">2014-09-08T12:52:00Z</dcterms:modified>
</cp:coreProperties>
</file>